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763270</wp:posOffset>
                </wp:positionV>
                <wp:extent cx="720090" cy="842645"/>
                <wp:effectExtent l="0" t="0" r="3810" b="0"/>
                <wp:wrapTopAndBottom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20090" cy="842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page;margin-left:291.60pt;mso-position-horizontal:absolute;mso-position-vertical-relative:page;margin-top:60.10pt;mso-position-vertical:absolute;width:56.70pt;height:66.35pt;mso-wrap-distance-left:9.00pt;mso-wrap-distance-top:0.00pt;mso-wrap-distance-right:9.00pt;mso-wrap-distance-bottom:0.00pt;" stroked="f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ГУБЕРНАТОР</w:t>
      </w:r>
      <w:r>
        <w:rPr>
          <w:sz w:val="32"/>
          <w:szCs w:val="32"/>
        </w:rPr>
        <w:t xml:space="preserve">  ЕВРЕЙСКОЙ  АВТОНОМНОЙ ОБЛАСТИ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pacing w:val="28"/>
          <w:sz w:val="18"/>
          <w:szCs w:val="18"/>
        </w:rPr>
      </w:pPr>
      <w:r>
        <w:rPr>
          <w:spacing w:val="28"/>
          <w:sz w:val="18"/>
          <w:szCs w:val="18"/>
        </w:rPr>
      </w:r>
      <w:r>
        <w:rPr>
          <w:spacing w:val="28"/>
          <w:sz w:val="18"/>
          <w:szCs w:val="18"/>
        </w:rPr>
      </w:r>
      <w:r>
        <w:rPr>
          <w:spacing w:val="28"/>
          <w:sz w:val="18"/>
          <w:szCs w:val="18"/>
        </w:rPr>
      </w:r>
    </w:p>
    <w:p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 xml:space="preserve">ПОСТАНОВЛЕНИЕ</w:t>
      </w:r>
      <w:r>
        <w:rPr>
          <w:b/>
          <w:spacing w:val="40"/>
          <w:sz w:val="36"/>
          <w:szCs w:val="36"/>
        </w:rPr>
      </w:r>
      <w:r>
        <w:rPr>
          <w:b/>
          <w:spacing w:val="40"/>
          <w:sz w:val="36"/>
          <w:szCs w:val="36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spacing w:before="20"/>
        <w:tabs>
          <w:tab w:val="left" w:pos="13467" w:leader="none"/>
        </w:tabs>
        <w:rPr>
          <w:sz w:val="20"/>
        </w:rPr>
      </w:pPr>
      <w:r>
        <w:rPr>
          <w:b/>
          <w:sz w:val="36"/>
          <w:szCs w:val="36"/>
        </w:rPr>
        <w:t xml:space="preserve">         </w:t>
      </w:r>
      <w:r>
        <w:rPr>
          <w:sz w:val="20"/>
        </w:rPr>
        <w:t xml:space="preserve">____________</w:t>
      </w:r>
      <w:r>
        <w:rPr>
          <w:sz w:val="20"/>
        </w:rPr>
        <w:t xml:space="preserve">_________                                      </w:t>
      </w:r>
      <w:r>
        <w:rPr>
          <w:sz w:val="20"/>
        </w:rPr>
        <w:t xml:space="preserve">                                        </w:t>
      </w:r>
      <w:r>
        <w:rPr>
          <w:sz w:val="20"/>
        </w:rPr>
        <w:t xml:space="preserve">   </w:t>
      </w:r>
      <w:r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         № _________</w:t>
      </w:r>
      <w:r>
        <w:rPr>
          <w:sz w:val="20"/>
        </w:rPr>
      </w:r>
      <w:r>
        <w:rPr>
          <w:sz w:val="20"/>
        </w:rPr>
      </w:r>
    </w:p>
    <w:p>
      <w:pPr>
        <w:jc w:val="center"/>
        <w:spacing w:before="200"/>
        <w:rPr>
          <w:sz w:val="20"/>
        </w:rPr>
      </w:pPr>
      <w:r>
        <w:rPr>
          <w:sz w:val="20"/>
        </w:rPr>
        <w:t xml:space="preserve">г. Биробиджан</w:t>
      </w:r>
      <w:r>
        <w:rPr>
          <w:sz w:val="20"/>
        </w:rPr>
      </w:r>
      <w:r>
        <w:rPr>
          <w:sz w:val="20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¬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Об эксплуатации наплавн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мост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без разработки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</w:t>
      </w:r>
      <w:r>
        <w:rPr>
          <w:sz w:val="28"/>
          <w:szCs w:val="28"/>
        </w:rPr>
        <w:t xml:space="preserve">рез пограничный пункт пропуска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г. Тунзян</w:t>
      </w:r>
      <w:r>
        <w:rPr>
          <w:sz w:val="28"/>
          <w:szCs w:val="28"/>
        </w:rPr>
        <w:t xml:space="preserve">, расположенный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в зимний период 2023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2024 годов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p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</w:r>
      <w:r>
        <w:rPr>
          <w:szCs w:val="24"/>
          <w:vertAlign w:val="superscript"/>
        </w:rPr>
      </w:r>
      <w:r>
        <w:rPr>
          <w:szCs w:val="24"/>
          <w:vertAlign w:val="superscript"/>
        </w:rPr>
      </w:r>
    </w:p>
    <w:p>
      <w:pPr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</w:r>
      <w:r>
        <w:rPr>
          <w:szCs w:val="24"/>
          <w:vertAlign w:val="superscript"/>
        </w:rPr>
      </w:r>
      <w:r>
        <w:rPr>
          <w:szCs w:val="24"/>
          <w:vertAlign w:val="superscript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распоряжением Федерального дорожного агентства от 13.05.2013 № 681-р «Об издании и применении ОДМ 218.2.036-2013 «Методические рекомендации по устройству, ремонту, содержанию </w:t>
        <w:br/>
        <w:t xml:space="preserve">и эксплуатации паромных переправ и наплавных мостов»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Соглашени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Правительством Российской Федерации и Правительством Китайской Народной Республики о дополнении к Соглашению между Правительством Российской Федерации и Правительством Китайской Народной Республики </w:t>
        <w:br/>
        <w:t xml:space="preserve">о пунктах пропуска на российско-китайской государственной</w:t>
      </w:r>
      <w:r>
        <w:rPr>
          <w:sz w:val="28"/>
          <w:szCs w:val="28"/>
        </w:rPr>
        <w:t xml:space="preserve"> границе </w:t>
        <w:br/>
        <w:t xml:space="preserve">от </w:t>
      </w:r>
      <w:r>
        <w:rPr>
          <w:sz w:val="28"/>
          <w:szCs w:val="28"/>
        </w:rPr>
        <w:t xml:space="preserve">27 января 1994 г.</w:t>
      </w:r>
      <w:r>
        <w:rPr>
          <w:sz w:val="28"/>
          <w:szCs w:val="28"/>
        </w:rPr>
        <w:t xml:space="preserve">, в целях осуществления международных перевозок пассажиров и грузов автомобильным транспортом </w:t>
      </w:r>
      <w:r>
        <w:rPr>
          <w:sz w:val="28"/>
          <w:szCs w:val="28"/>
        </w:rPr>
        <w:t xml:space="preserve">в зимний период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2023 – 2024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 по наплавн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мост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разработки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через пограничный пункт пропуска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г. Тунзян</w:t>
      </w:r>
      <w:r>
        <w:rPr>
          <w:sz w:val="28"/>
          <w:szCs w:val="28"/>
        </w:rPr>
        <w:t xml:space="preserve">, расположенный 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обеспечения безопасности передвижения транспортных средств и соблюдения технических требований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обустройств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и содержани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наплавн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мост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</w:t>
        <w:br/>
        <w:t xml:space="preserve">и ледов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Образовать областную комиссию по оценке соответствия состояния наплавн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мост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t xml:space="preserve"> </w:t>
      </w:r>
      <w:r>
        <w:rPr>
          <w:sz w:val="28"/>
          <w:szCs w:val="28"/>
        </w:rPr>
        <w:t xml:space="preserve">че</w:t>
      </w:r>
      <w:r>
        <w:rPr>
          <w:sz w:val="28"/>
          <w:szCs w:val="28"/>
        </w:rPr>
        <w:t xml:space="preserve">рез пограничный пункт пропуска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г. Тунзян</w:t>
      </w:r>
      <w:r>
        <w:rPr>
          <w:sz w:val="28"/>
          <w:szCs w:val="28"/>
        </w:rPr>
        <w:t xml:space="preserve">, расположенный </w:t>
        <w:br/>
        <w:t xml:space="preserve">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в зимний период </w:t>
      </w:r>
      <w:r>
        <w:rPr>
          <w:sz w:val="28"/>
          <w:szCs w:val="28"/>
        </w:rPr>
        <w:t xml:space="preserve">2023 – 2024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 требованиям безопасности движения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согласно приложению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Областной комиссии </w:t>
      </w:r>
      <w:r>
        <w:rPr>
          <w:sz w:val="28"/>
          <w:szCs w:val="28"/>
        </w:rPr>
        <w:t xml:space="preserve">по оценке соответствия состояния </w:t>
      </w:r>
      <w:r>
        <w:rPr>
          <w:sz w:val="28"/>
          <w:szCs w:val="28"/>
        </w:rPr>
        <w:t xml:space="preserve">наплавного моста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рез пограничный пункт пропуска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г. Тунзян</w:t>
      </w:r>
      <w:r>
        <w:rPr>
          <w:sz w:val="28"/>
          <w:szCs w:val="28"/>
        </w:rPr>
        <w:t xml:space="preserve">, расположенный 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в зимний период </w:t>
      </w:r>
      <w:r>
        <w:rPr>
          <w:sz w:val="28"/>
          <w:szCs w:val="28"/>
        </w:rPr>
        <w:t xml:space="preserve">2023 – 2024 </w:t>
      </w:r>
      <w:r>
        <w:rPr>
          <w:sz w:val="28"/>
          <w:szCs w:val="28"/>
        </w:rPr>
        <w:t xml:space="preserve">годов требованиям безопасности движения</w:t>
      </w:r>
      <w:r>
        <w:rPr>
          <w:sz w:val="28"/>
          <w:szCs w:val="28"/>
        </w:rPr>
        <w:t xml:space="preserve"> произвести оценку соответствия состояния </w:t>
      </w:r>
      <w:r>
        <w:rPr>
          <w:sz w:val="28"/>
          <w:szCs w:val="28"/>
        </w:rPr>
        <w:t xml:space="preserve">наплавного моста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пограничный пункт пропуска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г. Тунзян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расположенный</w:t>
        <w:br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требованиям безопасности движения, результаты работы оформить соответствующим актом.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орган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местного самоуправления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«Ленинский</w:t>
      </w:r>
      <w:r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Еврейской автономной области оказать содействие в своевременном обустройстве и организации эксплуатации наплавного моста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рез пограничный пункт пропуска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г. Тунзян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, расположенный 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в зимний период </w:t>
      </w:r>
      <w:r>
        <w:rPr>
          <w:sz w:val="28"/>
          <w:szCs w:val="28"/>
        </w:rPr>
        <w:t xml:space="preserve">2023 – 2024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Рекомендовать обществу с ограниченной ответственностью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Нижнеленинский транспортно-логистический терминал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обеспечить обустройство, содержание и эксплуатацию наплавного моста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 xml:space="preserve">рез пограничный пункт пропуска </w:t>
      </w:r>
      <w:r>
        <w:rPr>
          <w:sz w:val="28"/>
          <w:szCs w:val="28"/>
        </w:rPr>
        <w:t xml:space="preserve">Нижнеленинское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г. Тунзян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, расположенный 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в зимний период </w:t>
      </w:r>
      <w:r>
        <w:rPr>
          <w:sz w:val="28"/>
          <w:szCs w:val="28"/>
        </w:rPr>
        <w:t xml:space="preserve">2023 – 2024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 в соответствии с ОДМ 218.2.036-2013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Методические рекомендации по устройству, ремонту, содержанию и эксплуатации паромных переправ и наплавных</w:t>
      </w:r>
      <w:r>
        <w:rPr>
          <w:sz w:val="28"/>
          <w:szCs w:val="28"/>
        </w:rPr>
        <w:t xml:space="preserve"> мостов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рекомендованным </w:t>
        <w:br/>
      </w:r>
      <w:r>
        <w:rPr>
          <w:sz w:val="28"/>
          <w:szCs w:val="28"/>
        </w:rPr>
        <w:t xml:space="preserve">к применению р</w:t>
      </w:r>
      <w:r>
        <w:rPr>
          <w:sz w:val="28"/>
          <w:szCs w:val="28"/>
        </w:rPr>
        <w:t xml:space="preserve">аспоряжением Федерального дорожного агентства от 13.05.2013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681-р, Отраслевыми дорожными нормами, утвержденными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риказом Федеральной до</w:t>
      </w:r>
      <w:r>
        <w:rPr>
          <w:sz w:val="28"/>
          <w:szCs w:val="28"/>
        </w:rPr>
        <w:t xml:space="preserve">рожной службы России от 26.08.</w:t>
      </w:r>
      <w:r>
        <w:rPr>
          <w:sz w:val="28"/>
          <w:szCs w:val="28"/>
        </w:rPr>
        <w:t xml:space="preserve">98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228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Автомобильные дороги общего пользования. Инструкция по проектированию, строительству и эксплуатации ледовых переправ. </w:t>
        <w:br/>
        <w:t xml:space="preserve">ОДН 218.010-98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Правилами дорожного движения Российской Федерации, утвержденными Постановлением Совета Министров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Российской Федерации от 23.10.</w:t>
      </w:r>
      <w:r>
        <w:rPr>
          <w:sz w:val="28"/>
          <w:szCs w:val="28"/>
        </w:rPr>
        <w:t xml:space="preserve">93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1090.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tabs>
          <w:tab w:val="left" w:pos="1134" w:leader="none"/>
        </w:tabs>
      </w:pPr>
      <w:r>
        <w:t xml:space="preserve">5</w:t>
      </w:r>
      <w:r>
        <w:t xml:space="preserve">. Настоящее постановление вступает в силу со дня его подписания.</w:t>
      </w:r>
      <w:r/>
    </w:p>
    <w:p>
      <w:pPr>
        <w:ind w:firstLine="709"/>
        <w:jc w:val="both"/>
        <w:tabs>
          <w:tab w:val="left" w:pos="72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убернатор области              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Р.Э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губернатора 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529"/>
      </w:pPr>
      <w:r>
        <w:rPr>
          <w:sz w:val="28"/>
          <w:szCs w:val="28"/>
        </w:rPr>
        <w:t xml:space="preserve">от __________ № _________</w:t>
      </w:r>
      <w:r>
        <w:rPr>
          <w:sz w:val="28"/>
          <w:szCs w:val="28"/>
        </w:rPr>
        <w:t xml:space="preserve">       </w:t>
      </w:r>
      <w:r/>
    </w:p>
    <w:p>
      <w:pPr>
        <w:pStyle w:val="8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tabs>
          <w:tab w:val="left" w:pos="5736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8"/>
          <w:szCs w:val="28"/>
        </w:rPr>
        <w:t xml:space="preserve">Состав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областной комиссии </w:t>
      </w:r>
      <w:r>
        <w:rPr>
          <w:sz w:val="28"/>
          <w:szCs w:val="28"/>
        </w:rPr>
        <w:t xml:space="preserve">по оценке соответствия состояния наплавного моста без </w:t>
      </w:r>
      <w:r>
        <w:rPr>
          <w:sz w:val="28"/>
          <w:szCs w:val="28"/>
        </w:rPr>
        <w:t xml:space="preserve">разработки</w:t>
      </w:r>
      <w:r>
        <w:rPr>
          <w:sz w:val="28"/>
          <w:szCs w:val="28"/>
        </w:rPr>
        <w:t xml:space="preserve"> майн и ледов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переправ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пограничный пункт пропуска </w:t>
      </w:r>
      <w:r>
        <w:rPr>
          <w:sz w:val="28"/>
          <w:szCs w:val="28"/>
        </w:rPr>
        <w:t xml:space="preserve">Нижнеленинское - </w:t>
      </w:r>
      <w:r>
        <w:rPr>
          <w:sz w:val="28"/>
          <w:szCs w:val="28"/>
        </w:rPr>
        <w:t xml:space="preserve">г. Тунзян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расположенный на </w:t>
      </w:r>
      <w:r>
        <w:rPr>
          <w:sz w:val="28"/>
          <w:szCs w:val="28"/>
        </w:rPr>
        <w:t xml:space="preserve">государственной границе между Российской Федерацией и Китайской Народной Республикой</w:t>
      </w:r>
      <w:r>
        <w:rPr>
          <w:sz w:val="28"/>
          <w:szCs w:val="28"/>
        </w:rPr>
        <w:t xml:space="preserve">, в зимний период </w:t>
      </w:r>
      <w:r>
        <w:rPr>
          <w:sz w:val="28"/>
          <w:szCs w:val="28"/>
        </w:rPr>
        <w:t xml:space="preserve">2023 – 2024 </w:t>
      </w:r>
      <w:r>
        <w:rPr>
          <w:sz w:val="28"/>
          <w:szCs w:val="28"/>
        </w:rPr>
        <w:t xml:space="preserve">годов требованиям безопасности движения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1"/>
        <w:gridCol w:w="5954"/>
        <w:gridCol w:w="141"/>
      </w:tblGrid>
      <w:tr>
        <w:trPr>
          <w:trHeight w:val="2377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Турбин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sz w:val="28"/>
                <w:szCs w:val="28"/>
              </w:rPr>
              <w:t xml:space="preserve"> автомобильных  дорог и транспорта правительства Еврейской автономной</w:t>
            </w:r>
            <w:r>
              <w:rPr>
                <w:sz w:val="28"/>
                <w:szCs w:val="28"/>
              </w:rPr>
              <w:t xml:space="preserve"> области, председатель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ind w:left="0" w:firstLine="0"/>
              <w:spacing w:line="240" w:lineRule="auto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департамента</w:t>
            </w:r>
            <w:r>
              <w:rPr>
                <w:sz w:val="28"/>
                <w:szCs w:val="28"/>
              </w:rPr>
              <w:t xml:space="preserve"> экономики правительства Еврейской автономной области, за</w:t>
            </w:r>
            <w:r>
              <w:rPr>
                <w:sz w:val="28"/>
                <w:szCs w:val="28"/>
              </w:rPr>
              <w:t xml:space="preserve">меститель председателя комиссии.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rPr>
          <w:gridAfter w:val="1"/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5" w:type="dxa"/>
            <w:textDirection w:val="lrTb"/>
            <w:noWrap w:val="false"/>
          </w:tcPr>
          <w:p>
            <w:pPr>
              <w:jc w:val="both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80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Сарайков 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Аркадий Анатольевич</w:t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4320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Купрацевич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ind w:left="0" w:firstLine="0"/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общества с ограниченной ответственностью «Нижнеленинский транспортно-логистический терминал»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Государственной инспекции безопасности дорожного движения Управления Министерства </w:t>
            </w:r>
            <w:r>
              <w:rPr>
                <w:sz w:val="28"/>
                <w:szCs w:val="28"/>
              </w:rPr>
              <w:t xml:space="preserve">внутренних</w:t>
            </w:r>
            <w:r>
              <w:rPr>
                <w:sz w:val="28"/>
                <w:szCs w:val="28"/>
              </w:rPr>
              <w:t xml:space="preserve"> дел Российской Федерации</w:t>
            </w:r>
            <w:r>
              <w:rPr>
                <w:sz w:val="28"/>
                <w:szCs w:val="28"/>
              </w:rPr>
              <w:t xml:space="preserve"> по Еврейской автономной области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инспекции государственного строительного надзора Еврейской автономной области – начальник отдела государс</w:t>
            </w:r>
            <w:r>
              <w:rPr>
                <w:sz w:val="28"/>
                <w:szCs w:val="28"/>
              </w:rPr>
              <w:t xml:space="preserve">твенного строительного надзора;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8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Курикалов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Витальевич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33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руководителя территориального органа (главн</w:t>
            </w:r>
            <w:r>
              <w:rPr>
                <w:sz w:val="28"/>
                <w:szCs w:val="28"/>
              </w:rPr>
              <w:t xml:space="preserve">ый</w:t>
            </w:r>
            <w:r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 xml:space="preserve">ый инспектор</w:t>
            </w:r>
            <w:r>
              <w:rPr>
                <w:sz w:val="28"/>
                <w:szCs w:val="28"/>
              </w:rPr>
              <w:t xml:space="preserve"> по маломерным судам Еврейской автономной области) Главного управления МЧС России по Е</w:t>
            </w:r>
            <w:r>
              <w:rPr>
                <w:sz w:val="28"/>
                <w:szCs w:val="28"/>
              </w:rPr>
              <w:t xml:space="preserve">врейской автономной облас</w:t>
            </w:r>
            <w:r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4"/>
        </w:trPr>
        <w:tc>
          <w:tcPr>
            <w:gridSpan w:val="2"/>
            <w:tcW w:w="3402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6095" w:type="dxa"/>
            <w:textDirection w:val="lrTb"/>
            <w:noWrap w:val="false"/>
          </w:tcPr>
          <w:p>
            <w:pPr>
              <w:jc w:val="both"/>
              <w:tabs>
                <w:tab w:val="left" w:pos="7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муниципального образования «Ленинский муниципальный район»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8"/>
      </w:rPr>
      <w:framePr w:wrap="around" w:vAnchor="text" w:hAnchor="margin" w:xAlign="center" w:y="1"/>
    </w:pPr>
    <w:r>
      <w:rPr>
        <w:rStyle w:val="898"/>
      </w:rPr>
    </w:r>
    <w:r>
      <w:rPr>
        <w:rStyle w:val="898"/>
      </w:rPr>
    </w:r>
    <w:r>
      <w:rPr>
        <w:rStyle w:val="89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8"/>
      </w:rPr>
      <w:framePr w:w="170" w:h="231" w:wrap="around" w:vAnchor="page" w:hAnchor="page" w:x="6262" w:y="755" w:hRule="exact"/>
    </w:pPr>
    <w:r>
      <w:rPr>
        <w:rStyle w:val="898"/>
      </w:rPr>
    </w:r>
    <w:r>
      <w:rPr>
        <w:rStyle w:val="898"/>
      </w:rPr>
    </w:r>
    <w:r>
      <w:rPr>
        <w:rStyle w:val="898"/>
      </w:rPr>
    </w:r>
  </w:p>
  <w:p>
    <w:pPr>
      <w:pStyle w:val="896"/>
      <w:jc w:val="center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tabs>
        <w:tab w:val="clear" w:pos="4677" w:leader="none"/>
        <w:tab w:val="left" w:pos="8424" w:leader="none"/>
        <w:tab w:val="clear" w:pos="9355" w:leader="none"/>
      </w:tabs>
    </w:pPr>
    <w:r>
      <w:t xml:space="preserve">            </w:t>
    </w:r>
    <w:r>
      <w:t xml:space="preserve">                                                                                                                        ПРОЕКТ                                                              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85"/>
    <w:next w:val="885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basedOn w:val="887"/>
    <w:link w:val="713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2 Char"/>
    <w:basedOn w:val="887"/>
    <w:link w:val="886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7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7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7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7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7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5"/>
    <w:next w:val="885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7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5"/>
    <w:next w:val="885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87"/>
    <w:link w:val="731"/>
    <w:uiPriority w:val="10"/>
    <w:rPr>
      <w:sz w:val="48"/>
      <w:szCs w:val="48"/>
    </w:rPr>
  </w:style>
  <w:style w:type="paragraph" w:styleId="733">
    <w:name w:val="Subtitle"/>
    <w:basedOn w:val="885"/>
    <w:next w:val="885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7"/>
    <w:link w:val="733"/>
    <w:uiPriority w:val="11"/>
    <w:rPr>
      <w:sz w:val="24"/>
      <w:szCs w:val="24"/>
    </w:rPr>
  </w:style>
  <w:style w:type="paragraph" w:styleId="735">
    <w:name w:val="Quote"/>
    <w:basedOn w:val="885"/>
    <w:next w:val="885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5"/>
    <w:next w:val="885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7"/>
    <w:link w:val="896"/>
    <w:uiPriority w:val="99"/>
  </w:style>
  <w:style w:type="character" w:styleId="740">
    <w:name w:val="Footer Char"/>
    <w:basedOn w:val="887"/>
    <w:link w:val="899"/>
    <w:uiPriority w:val="99"/>
  </w:style>
  <w:style w:type="paragraph" w:styleId="741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899"/>
    <w:uiPriority w:val="99"/>
  </w:style>
  <w:style w:type="table" w:styleId="743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7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7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rPr>
      <w:rFonts w:ascii="Times New Roman" w:hAnsi="Times New Roman" w:eastAsia="Times New Roman"/>
      <w:sz w:val="24"/>
      <w:szCs w:val="20"/>
    </w:rPr>
  </w:style>
  <w:style w:type="paragraph" w:styleId="886">
    <w:name w:val="Heading 2"/>
    <w:basedOn w:val="885"/>
    <w:next w:val="885"/>
    <w:link w:val="890"/>
    <w:uiPriority w:val="99"/>
    <w:qFormat/>
    <w:pPr>
      <w:jc w:val="both"/>
      <w:keepNext/>
      <w:spacing w:line="360" w:lineRule="auto"/>
      <w:outlineLvl w:val="1"/>
    </w:pPr>
    <w:rPr>
      <w:sz w:val="28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character" w:styleId="890" w:customStyle="1">
    <w:name w:val="Заголовок 2 Знак"/>
    <w:basedOn w:val="887"/>
    <w:link w:val="88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1">
    <w:name w:val="Body Text 2"/>
    <w:basedOn w:val="885"/>
    <w:link w:val="892"/>
    <w:uiPriority w:val="99"/>
    <w:pPr>
      <w:jc w:val="both"/>
      <w:spacing w:line="360" w:lineRule="auto"/>
    </w:pPr>
  </w:style>
  <w:style w:type="character" w:styleId="892" w:customStyle="1">
    <w:name w:val="Основной текст 2 Знак"/>
    <w:basedOn w:val="887"/>
    <w:link w:val="89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3">
    <w:name w:val="List Paragraph"/>
    <w:basedOn w:val="885"/>
    <w:uiPriority w:val="99"/>
    <w:qFormat/>
    <w:pPr>
      <w:contextualSpacing/>
      <w:ind w:left="720"/>
    </w:pPr>
  </w:style>
  <w:style w:type="character" w:styleId="894">
    <w:name w:val="Hyperlink"/>
    <w:basedOn w:val="887"/>
    <w:uiPriority w:val="99"/>
    <w:rPr>
      <w:rFonts w:cs="Times New Roman"/>
      <w:color w:val="0000ff"/>
      <w:u w:val="single"/>
    </w:rPr>
  </w:style>
  <w:style w:type="paragraph" w:styleId="895" w:customStyle="1">
    <w:name w:val="ConsPlusNormal"/>
    <w:uiPriority w:val="99"/>
    <w:pPr>
      <w:widowControl w:val="off"/>
    </w:pPr>
    <w:rPr>
      <w:rFonts w:ascii="Times New Roman" w:hAnsi="Times New Roman"/>
      <w:sz w:val="24"/>
      <w:szCs w:val="20"/>
    </w:rPr>
  </w:style>
  <w:style w:type="paragraph" w:styleId="896">
    <w:name w:val="Header"/>
    <w:basedOn w:val="885"/>
    <w:link w:val="897"/>
    <w:uiPriority w:val="99"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887"/>
    <w:link w:val="89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898">
    <w:name w:val="page number"/>
    <w:basedOn w:val="887"/>
    <w:uiPriority w:val="99"/>
    <w:rPr>
      <w:rFonts w:cs="Times New Roman"/>
    </w:rPr>
  </w:style>
  <w:style w:type="paragraph" w:styleId="899">
    <w:name w:val="Footer"/>
    <w:basedOn w:val="885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87"/>
    <w:link w:val="899"/>
    <w:uiPriority w:val="99"/>
    <w:rPr>
      <w:rFonts w:ascii="Times New Roman" w:hAnsi="Times New Roman" w:eastAsia="Times New Roman"/>
      <w:sz w:val="24"/>
      <w:szCs w:val="20"/>
    </w:rPr>
  </w:style>
  <w:style w:type="table" w:styleId="901">
    <w:name w:val="Table Grid"/>
    <w:basedOn w:val="88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2">
    <w:name w:val="Balloon Text"/>
    <w:basedOn w:val="885"/>
    <w:link w:val="903"/>
    <w:uiPriority w:val="99"/>
    <w:semiHidden/>
    <w:unhideWhenUsed/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887"/>
    <w:link w:val="90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04" w:customStyle="1">
    <w:name w:val="Body Text Indent"/>
    <w:uiPriority w:val="99"/>
    <w:semiHidden/>
    <w:unhideWhenUsed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08EE-CA55-4E9B-BF21-B3CAFD5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revision>23</cp:revision>
  <dcterms:created xsi:type="dcterms:W3CDTF">2022-10-11T01:23:00Z</dcterms:created>
  <dcterms:modified xsi:type="dcterms:W3CDTF">2023-12-28T23:32:32Z</dcterms:modified>
</cp:coreProperties>
</file>